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4C9BD">
      <w:pPr>
        <w:spacing w:before="0" w:after="80"/>
      </w:pPr>
      <w:r>
        <w:rPr>
          <w:rFonts w:ascii="Arial" w:hAnsi="Arial"/>
          <w:b/>
          <w:color w:val="7F8C8D"/>
          <w:sz w:val="24"/>
        </w:rPr>
        <w:t>KEYAN Calculation — Technical Support Documentation</w:t>
      </w:r>
    </w:p>
    <w:p w14:paraId="58DA0DEB">
      <w:pPr>
        <w:spacing w:after="480"/>
      </w:pPr>
      <w:r>
        <w:rPr>
          <w:rFonts w:ascii="Arial" w:hAnsi="Arial"/>
          <w:b/>
          <w:color w:val="1B365D"/>
          <w:sz w:val="40"/>
        </w:rPr>
        <w:t>Simulation Results Verification, Validation (V&amp;V) &amp; Post-Processing Standar</w:t>
      </w:r>
      <w:bookmarkStart w:id="0" w:name="_GoBack"/>
      <w:bookmarkEnd w:id="0"/>
      <w:r>
        <w:rPr>
          <w:rFonts w:ascii="Arial" w:hAnsi="Arial"/>
          <w:b/>
          <w:color w:val="1B365D"/>
          <w:sz w:val="40"/>
        </w:rPr>
        <w:t>d</w:t>
      </w:r>
    </w:p>
    <w:p w14:paraId="1AEA220E">
      <w:pPr>
        <w:spacing w:after="360"/>
      </w:pPr>
    </w:p>
    <w:p w14:paraId="37E1444B">
      <w:pPr>
        <w:spacing w:before="240" w:after="200"/>
      </w:pPr>
      <w:r>
        <w:rPr>
          <w:rFonts w:ascii="Arial" w:hAnsi="Arial"/>
          <w:b/>
          <w:color w:val="1B365D"/>
          <w:sz w:val="30"/>
        </w:rPr>
        <w:t>1. Objective &amp; Scope</w:t>
      </w:r>
    </w:p>
    <w:p w14:paraId="6B67CFED">
      <w:r>
        <w:t>This standard defines the mandatory protocols for interpreting, validating, and reporting finite element analysis (FEA) results. Post-processing must transform raw mathematical solver outputs into scientifically sound, verifiable engineering conclusions. This protocol ensures that physical phenomena (e.g., sheet metal warping, residual stress distributions, structural distortions) are accurately isolated from numerical artifacts.</w:t>
      </w:r>
    </w:p>
    <w:p w14:paraId="03691195">
      <w:pPr>
        <w:spacing w:before="360" w:after="200"/>
      </w:pPr>
      <w:r>
        <w:rPr>
          <w:rFonts w:ascii="Arial" w:hAnsi="Arial"/>
          <w:b/>
          <w:color w:val="1B365D"/>
          <w:sz w:val="30"/>
        </w:rPr>
        <w:t>2. Numerical Verification &amp; Singularity Identification</w:t>
      </w:r>
    </w:p>
    <w:p w14:paraId="0667D95C">
      <w:r>
        <w:t>Before validating simulation data against physical tests, engineers must conduct strict numerical verification to ensure mesh independence and eliminate artificial numerical anomalies.</w:t>
      </w:r>
    </w:p>
    <w:p w14:paraId="482D19A9">
      <w:pPr>
        <w:pStyle w:val="16"/>
      </w:pPr>
      <w:r>
        <w:rPr>
          <w:b/>
        </w:rPr>
        <w:t xml:space="preserve">Mesh Convergence Verification: </w:t>
      </w:r>
      <w:r>
        <w:t>Critical regions (such as weld lines, high-stress concentrations, or maximum displacement fields) must undergo a mesh sensitivity check. The delta in peak von Mises stress or maximum displacement between two consecutive refinement levels must not exceed 5%.</w:t>
      </w:r>
    </w:p>
    <w:p w14:paraId="3C99CDDA">
      <w:pPr>
        <w:pStyle w:val="16"/>
      </w:pPr>
      <w:r>
        <w:rPr>
          <w:b/>
        </w:rPr>
        <w:t xml:space="preserve">Numerical Singularity Extraction: </w:t>
      </w:r>
      <w:r>
        <w:t>Local single-node stress or temperature spikes located precisely at sharp geometric boundaries, weld path start/end points, or concentrated point loads must be identified as numerical singularities. These non-convergent mathematical anomalies must be isolated and excluded from continuous large-area contour field evaluations.</w:t>
      </w:r>
    </w:p>
    <w:p w14:paraId="38CD9093">
      <w:pPr>
        <w:pStyle w:val="16"/>
      </w:pPr>
      <w:r>
        <w:rPr>
          <w:b/>
        </w:rPr>
        <w:t xml:space="preserve">Energy Error &amp; Mass Balance Checks: </w:t>
      </w:r>
      <w:r>
        <w:t>For transient thermal and structural solutions, the structural artificial energy (Hourglass energy) must be verified to be below 5% of the total internal energy. The total heat balance error across all load steps must remain under 1%.</w:t>
      </w:r>
    </w:p>
    <w:p w14:paraId="526F2543">
      <w:pPr>
        <w:spacing w:before="360" w:after="200"/>
      </w:pPr>
      <w:r>
        <w:rPr>
          <w:rFonts w:ascii="Arial" w:hAnsi="Arial"/>
          <w:b/>
          <w:color w:val="1B365D"/>
          <w:sz w:val="30"/>
        </w:rPr>
        <w:t>3. Physical Validation (V&amp;V) Protocols</w:t>
      </w:r>
    </w:p>
    <w:p w14:paraId="02268383">
      <w:r>
        <w:t>To guarantee real-world fidelity, KEYAN Calculation mandates aligning simulation field plots with physical empirical tests. The allowable deviation thresholds are defined below:</w:t>
      </w:r>
    </w:p>
    <w:tbl>
      <w:tblPr>
        <w:tblStyle w:val="32"/>
        <w:tblW w:w="0" w:type="auto"/>
        <w:jc w:val="center"/>
        <w:tblLayout w:type="autofit"/>
        <w:tblCellMar>
          <w:top w:w="0" w:type="dxa"/>
          <w:left w:w="108" w:type="dxa"/>
          <w:bottom w:w="0" w:type="dxa"/>
          <w:right w:w="108" w:type="dxa"/>
        </w:tblCellMar>
      </w:tblPr>
      <w:tblGrid>
        <w:gridCol w:w="3120"/>
        <w:gridCol w:w="3120"/>
        <w:gridCol w:w="3120"/>
      </w:tblGrid>
      <w:tr w14:paraId="1C1605C0">
        <w:tblPrEx>
          <w:tblCellMar>
            <w:top w:w="0" w:type="dxa"/>
            <w:left w:w="108" w:type="dxa"/>
            <w:bottom w:w="0" w:type="dxa"/>
            <w:right w:w="108" w:type="dxa"/>
          </w:tblCellMar>
        </w:tblPrEx>
        <w:trPr>
          <w:jc w:val="center"/>
        </w:trPr>
        <w:tc>
          <w:tcPr>
            <w:tcW w:w="3120" w:type="dxa"/>
            <w:shd w:val="clear" w:color="auto" w:fill="1B365D"/>
          </w:tcPr>
          <w:p w14:paraId="16272B2E">
            <w:pPr>
              <w:jc w:val="center"/>
            </w:pPr>
            <w:r>
              <w:rPr>
                <w:b/>
                <w:color w:val="FFFFFF"/>
                <w:sz w:val="20"/>
              </w:rPr>
              <w:t>Engineering Metric</w:t>
            </w:r>
          </w:p>
        </w:tc>
        <w:tc>
          <w:tcPr>
            <w:tcW w:w="3120" w:type="dxa"/>
            <w:shd w:val="clear" w:color="auto" w:fill="1B365D"/>
          </w:tcPr>
          <w:p w14:paraId="7929CC53">
            <w:pPr>
              <w:jc w:val="center"/>
            </w:pPr>
            <w:r>
              <w:rPr>
                <w:b/>
                <w:color w:val="FFFFFF"/>
                <w:sz w:val="20"/>
              </w:rPr>
              <w:t>Empirical Testing Method</w:t>
            </w:r>
          </w:p>
        </w:tc>
        <w:tc>
          <w:tcPr>
            <w:tcW w:w="3120" w:type="dxa"/>
            <w:shd w:val="clear" w:color="auto" w:fill="1B365D"/>
          </w:tcPr>
          <w:p w14:paraId="27114752">
            <w:pPr>
              <w:jc w:val="center"/>
            </w:pPr>
            <w:r>
              <w:rPr>
                <w:b/>
                <w:color w:val="FFFFFF"/>
                <w:sz w:val="20"/>
              </w:rPr>
              <w:t>Allowable Deviation Limit</w:t>
            </w:r>
          </w:p>
        </w:tc>
      </w:tr>
      <w:tr w14:paraId="14A9D3C9">
        <w:tblPrEx>
          <w:tblCellMar>
            <w:top w:w="0" w:type="dxa"/>
            <w:left w:w="108" w:type="dxa"/>
            <w:bottom w:w="0" w:type="dxa"/>
            <w:right w:w="108" w:type="dxa"/>
          </w:tblCellMar>
        </w:tblPrEx>
        <w:trPr>
          <w:jc w:val="center"/>
        </w:trPr>
        <w:tc>
          <w:tcPr>
            <w:tcW w:w="3120" w:type="dxa"/>
            <w:tcBorders>
              <w:bottom w:val="single" w:color="E0E0E0" w:sz="4" w:space="0"/>
            </w:tcBorders>
          </w:tcPr>
          <w:p w14:paraId="36AA482C">
            <w:r>
              <w:rPr>
                <w:sz w:val="19"/>
              </w:rPr>
              <w:t>Structural Deformation (Displacement)</w:t>
            </w:r>
          </w:p>
        </w:tc>
        <w:tc>
          <w:tcPr>
            <w:tcW w:w="3120" w:type="dxa"/>
            <w:tcBorders>
              <w:bottom w:val="single" w:color="E0E0E0" w:sz="4" w:space="0"/>
            </w:tcBorders>
          </w:tcPr>
          <w:p w14:paraId="02C4CB20">
            <w:r>
              <w:rPr>
                <w:sz w:val="19"/>
              </w:rPr>
              <w:t>3D Laser Scanning / Coordinate Measuring Machine (CMM)</w:t>
            </w:r>
          </w:p>
        </w:tc>
        <w:tc>
          <w:tcPr>
            <w:tcW w:w="3120" w:type="dxa"/>
            <w:tcBorders>
              <w:bottom w:val="single" w:color="E0E0E0" w:sz="4" w:space="0"/>
            </w:tcBorders>
          </w:tcPr>
          <w:p w14:paraId="078990C9">
            <w:r>
              <w:rPr>
                <w:sz w:val="19"/>
              </w:rPr>
              <w:t>&lt; 10% (Continuous Large-Area)</w:t>
            </w:r>
          </w:p>
        </w:tc>
      </w:tr>
      <w:tr w14:paraId="3F5D20B2">
        <w:tblPrEx>
          <w:tblCellMar>
            <w:top w:w="0" w:type="dxa"/>
            <w:left w:w="108" w:type="dxa"/>
            <w:bottom w:w="0" w:type="dxa"/>
            <w:right w:w="108" w:type="dxa"/>
          </w:tblCellMar>
        </w:tblPrEx>
        <w:trPr>
          <w:jc w:val="center"/>
        </w:trPr>
        <w:tc>
          <w:tcPr>
            <w:tcW w:w="3120" w:type="dxa"/>
            <w:tcBorders>
              <w:bottom w:val="single" w:color="E0E0E0" w:sz="4" w:space="0"/>
            </w:tcBorders>
            <w:shd w:val="clear" w:color="auto" w:fill="F4F6F9"/>
          </w:tcPr>
          <w:p w14:paraId="1FF4CD8F">
            <w:r>
              <w:rPr>
                <w:sz w:val="19"/>
              </w:rPr>
              <w:t>Transient Melt Pool Temperature</w:t>
            </w:r>
          </w:p>
        </w:tc>
        <w:tc>
          <w:tcPr>
            <w:tcW w:w="3120" w:type="dxa"/>
            <w:tcBorders>
              <w:bottom w:val="single" w:color="E0E0E0" w:sz="4" w:space="0"/>
            </w:tcBorders>
            <w:shd w:val="clear" w:color="auto" w:fill="F4F6F9"/>
          </w:tcPr>
          <w:p w14:paraId="482B4CD6">
            <w:r>
              <w:rPr>
                <w:sz w:val="19"/>
              </w:rPr>
              <w:t>Infrared Pyrometry / Thermocouple Array Measurements</w:t>
            </w:r>
          </w:p>
        </w:tc>
        <w:tc>
          <w:tcPr>
            <w:tcW w:w="3120" w:type="dxa"/>
            <w:tcBorders>
              <w:bottom w:val="single" w:color="E0E0E0" w:sz="4" w:space="0"/>
            </w:tcBorders>
            <w:shd w:val="clear" w:color="auto" w:fill="F4F6F9"/>
          </w:tcPr>
          <w:p w14:paraId="4B77C8E0">
            <w:r>
              <w:rPr>
                <w:sz w:val="19"/>
              </w:rPr>
              <w:t>&lt; 15% (Peak Temperature Points)</w:t>
            </w:r>
          </w:p>
        </w:tc>
      </w:tr>
      <w:tr w14:paraId="33458C76">
        <w:tblPrEx>
          <w:tblCellMar>
            <w:top w:w="0" w:type="dxa"/>
            <w:left w:w="108" w:type="dxa"/>
            <w:bottom w:w="0" w:type="dxa"/>
            <w:right w:w="108" w:type="dxa"/>
          </w:tblCellMar>
        </w:tblPrEx>
        <w:trPr>
          <w:jc w:val="center"/>
        </w:trPr>
        <w:tc>
          <w:tcPr>
            <w:tcW w:w="3120" w:type="dxa"/>
            <w:tcBorders>
              <w:bottom w:val="single" w:color="E0E0E0" w:sz="4" w:space="0"/>
            </w:tcBorders>
          </w:tcPr>
          <w:p w14:paraId="69A36F17">
            <w:r>
              <w:rPr>
                <w:sz w:val="19"/>
              </w:rPr>
              <w:t>Residual Stress Distribution</w:t>
            </w:r>
          </w:p>
        </w:tc>
        <w:tc>
          <w:tcPr>
            <w:tcW w:w="3120" w:type="dxa"/>
            <w:tcBorders>
              <w:bottom w:val="single" w:color="E0E0E0" w:sz="4" w:space="0"/>
            </w:tcBorders>
          </w:tcPr>
          <w:p w14:paraId="623EC9F1">
            <w:r>
              <w:rPr>
                <w:sz w:val="19"/>
              </w:rPr>
              <w:t>X-Ray Diffraction (XRD) / Blind Hole Drilling Method</w:t>
            </w:r>
          </w:p>
        </w:tc>
        <w:tc>
          <w:tcPr>
            <w:tcW w:w="3120" w:type="dxa"/>
            <w:tcBorders>
              <w:bottom w:val="single" w:color="E0E0E0" w:sz="4" w:space="0"/>
            </w:tcBorders>
          </w:tcPr>
          <w:p w14:paraId="652A4550">
            <w:r>
              <w:rPr>
                <w:sz w:val="19"/>
              </w:rPr>
              <w:t>&lt; 15% (Primary Structural Direction)</w:t>
            </w:r>
          </w:p>
        </w:tc>
      </w:tr>
    </w:tbl>
    <w:p w14:paraId="3746C215">
      <w:pPr>
        <w:spacing w:before="240"/>
      </w:pPr>
    </w:p>
    <w:p w14:paraId="6505DDC8">
      <w:pPr>
        <w:spacing w:before="240" w:after="200"/>
      </w:pPr>
      <w:r>
        <w:rPr>
          <w:rFonts w:ascii="Arial" w:hAnsi="Arial"/>
          <w:b/>
          <w:color w:val="1B365D"/>
          <w:sz w:val="30"/>
        </w:rPr>
        <w:t>4. Standardized Reporting &amp; Post-Processing Visualization</w:t>
      </w:r>
    </w:p>
    <w:p w14:paraId="5407EF62">
      <w:r>
        <w:t>Simulation engineering reports must maintain a strict structure and visual transparency to pass international audit standards (e.g., ASME, ISO, VDI guidelines).</w:t>
      </w:r>
    </w:p>
    <w:p w14:paraId="784192C6">
      <w:pPr>
        <w:pStyle w:val="16"/>
      </w:pPr>
      <w:r>
        <w:rPr>
          <w:b/>
        </w:rPr>
        <w:t xml:space="preserve">Contour Scale Standardization: </w:t>
      </w:r>
      <w:r>
        <w:t>Deformation plots must display 'True Scale' (1.0x factor) for final verification. Scaled/exaggerated views are acceptable only for initial trend tracking. Color scales must be capped at meaningful engineering thresholds (e.g., material yield strength) to prevent localized singularities from washing out the full field gradient.</w:t>
      </w:r>
    </w:p>
    <w:p w14:paraId="23971938">
      <w:pPr>
        <w:pStyle w:val="16"/>
      </w:pPr>
      <w:r>
        <w:rPr>
          <w:b/>
        </w:rPr>
        <w:t xml:space="preserve">Mandatory Report Deliverables: </w:t>
      </w:r>
      <w:r>
        <w:t>Every CAE report delivered via KEYAN Calculation channels must include: (a) Explicit mesh statistics and quality logs; (b) Reaction force balance plots confirming equilibrium; (c) Plastic strain contours indicating potential material failure zones; (d) Quantitative V&amp;V error-margin matrix.</w:t>
      </w:r>
    </w:p>
    <w:p w14:paraId="1FB89BD9">
      <w:pPr>
        <w:spacing w:before="240"/>
      </w:pPr>
    </w:p>
    <w:tbl>
      <w:tblPr>
        <w:tblStyle w:val="32"/>
        <w:tblW w:w="0" w:type="auto"/>
        <w:jc w:val="center"/>
        <w:tblLayout w:type="autofit"/>
        <w:tblCellMar>
          <w:top w:w="0" w:type="dxa"/>
          <w:left w:w="108" w:type="dxa"/>
          <w:bottom w:w="0" w:type="dxa"/>
          <w:right w:w="108" w:type="dxa"/>
        </w:tblCellMar>
      </w:tblPr>
      <w:tblGrid>
        <w:gridCol w:w="9360"/>
      </w:tblGrid>
      <w:tr w14:paraId="1ED0B07B">
        <w:tblPrEx>
          <w:tblCellMar>
            <w:top w:w="0" w:type="dxa"/>
            <w:left w:w="108" w:type="dxa"/>
            <w:bottom w:w="0" w:type="dxa"/>
            <w:right w:w="108" w:type="dxa"/>
          </w:tblCellMar>
        </w:tblPrEx>
        <w:trPr>
          <w:jc w:val="center"/>
        </w:trPr>
        <w:tc>
          <w:tcPr>
            <w:tcW w:w="9360" w:type="dxa"/>
            <w:tcBorders>
              <w:top w:val="nil"/>
              <w:left w:val="single" w:color="1B365D" w:sz="24" w:space="0"/>
              <w:bottom w:val="nil"/>
              <w:right w:val="nil"/>
            </w:tcBorders>
            <w:shd w:val="clear" w:color="auto" w:fill="EDF2F7"/>
          </w:tcPr>
          <w:p w14:paraId="3F32B078">
            <w:pPr>
              <w:spacing w:before="120" w:after="120"/>
            </w:pPr>
            <w:r>
              <w:rPr>
                <w:i/>
                <w:color w:val="2C3E50"/>
                <w:sz w:val="20"/>
              </w:rPr>
              <w:t>QUALITY AUDIT NOTICE: Any simulation report presenting localized single-node stress values as generalized component failure without performing a mesh singularity evaluation will fail the KEYAN Calculation technical review. Alignment with the V&amp;V thresholds outlined in Section 3 is a prerequisite for formal engineering sign-off. For automated report auditing tools, contact support@keyan-calculation.com.</w:t>
            </w:r>
          </w:p>
        </w:tc>
      </w:tr>
    </w:tbl>
    <w:p w14:paraId="120F6E7C"/>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2471315"/>
    <w:rsid w:val="772F3E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00" w:lineRule="auto"/>
    </w:pPr>
    <w:rPr>
      <w:rFonts w:ascii="Arial" w:hAnsi="Arial" w:eastAsiaTheme="minorEastAsia" w:cstheme="minorBidi"/>
      <w:color w:val="333333"/>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470</Words>
  <Characters>3228</Characters>
  <Lines>0</Lines>
  <Paragraphs>0</Paragraphs>
  <TotalTime>12</TotalTime>
  <ScaleCrop>false</ScaleCrop>
  <LinksUpToDate>false</LinksUpToDate>
  <CharactersWithSpaces>3670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he</cp:lastModifiedBy>
  <dcterms:modified xsi:type="dcterms:W3CDTF">2026-07-03T09:39:50Z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EE247315F1D540DCA7E1FC0893533D9E_13</vt:lpwstr>
  </property>
</Properties>
</file>