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D64D8">
      <w:pPr>
        <w:spacing w:before="0" w:after="80"/>
      </w:pPr>
      <w:r>
        <w:rPr>
          <w:rFonts w:ascii="Arial" w:hAnsi="Arial"/>
          <w:b/>
          <w:color w:val="7F8C8D"/>
          <w:sz w:val="24"/>
        </w:rPr>
        <w:t>KEYAN Calculation — Technical Support Documentation</w:t>
      </w:r>
    </w:p>
    <w:p w14:paraId="63E46886">
      <w:pPr>
        <w:spacing w:after="480"/>
      </w:pPr>
      <w:bookmarkStart w:id="0" w:name="_GoBack"/>
      <w:r>
        <w:rPr>
          <w:rFonts w:ascii="Arial" w:hAnsi="Arial"/>
          <w:b/>
          <w:color w:val="1B365D"/>
          <w:sz w:val="44"/>
        </w:rPr>
        <w:t>Core Simulation Setup &amp; Load Case Configuration Guide</w:t>
      </w:r>
    </w:p>
    <w:bookmarkEnd w:id="0"/>
    <w:p w14:paraId="56B881A2">
      <w:pPr>
        <w:spacing w:after="360"/>
      </w:pPr>
    </w:p>
    <w:p w14:paraId="5639F604">
      <w:pPr>
        <w:spacing w:before="240" w:after="200"/>
      </w:pPr>
      <w:r>
        <w:rPr>
          <w:rFonts w:ascii="Arial" w:hAnsi="Arial"/>
          <w:b/>
          <w:color w:val="1B365D"/>
          <w:sz w:val="30"/>
        </w:rPr>
        <w:t>1. Multiphysics Load Case &amp; Workflow Architecture</w:t>
      </w:r>
    </w:p>
    <w:p w14:paraId="414B0F61">
      <w:r>
        <w:t>For complex structural-thermal industrial applications, such as CO2 shielded welding, additive manufacturing, and thermal cladding, a Sequentially Coupled Thermal-Structural analysis approach is mandated. The simulation pipeline isolates the thermal physics from the stress field physics to maximize computational stability while maintaining non-linear precision.</w:t>
      </w:r>
    </w:p>
    <w:p w14:paraId="600107BB">
      <w:pPr>
        <w:pStyle w:val="16"/>
      </w:pPr>
      <w:r>
        <w:rPr>
          <w:b/>
        </w:rPr>
        <w:t xml:space="preserve">Transient Thermal Stage: </w:t>
      </w:r>
      <w:r>
        <w:t>Calculates the time-dependent temperature field history under highly localized, moving heat fluxes. Convection and radiation boundary conditions are active and updated at every sub-step.</w:t>
      </w:r>
    </w:p>
    <w:p w14:paraId="16EAE27C">
      <w:pPr>
        <w:pStyle w:val="16"/>
      </w:pPr>
      <w:r>
        <w:rPr>
          <w:b/>
        </w:rPr>
        <w:t xml:space="preserve">Static Structural Stage: </w:t>
      </w:r>
      <w:r>
        <w:t>Imports the complete 4D (Spatial + Temporal) temperature profile as a thermal body load. Calculates thermal expansion, plastic strain development, and cumulative structural residual deformations.</w:t>
      </w:r>
    </w:p>
    <w:p w14:paraId="741A54AF">
      <w:pPr>
        <w:spacing w:before="360" w:after="200"/>
      </w:pPr>
      <w:r>
        <w:rPr>
          <w:rFonts w:ascii="Arial" w:hAnsi="Arial"/>
          <w:b/>
          <w:color w:val="1B365D"/>
          <w:sz w:val="30"/>
        </w:rPr>
        <w:t>2. Advanced Thermal Boundary Conditions &amp; Heat Source Setup</w:t>
      </w:r>
    </w:p>
    <w:p w14:paraId="52F9D407">
      <w:r>
        <w:t>To accurately capture the intense localized heat input from welding or lasers, a moving heat flux distribution must be established. KEYAN Calculation standardizes on the Goldak Gaussian Double-Ellipsoidal Heat Source Model.</w:t>
      </w:r>
    </w:p>
    <w:p w14:paraId="2003F08D">
      <w:r>
        <w:t>The heat generation density distributions for the front (f) and rear (r) quadrants of the moving weld pool are defined via the following equations:</w:t>
      </w:r>
    </w:p>
    <w:p w14:paraId="65D8C6BF">
      <w:pPr>
        <w:ind w:left="720"/>
      </w:pPr>
      <w:r>
        <w:rPr>
          <w:rFonts w:ascii="Times New Roman" w:hAnsi="Times New Roman"/>
          <w:b/>
          <w:i/>
        </w:rPr>
        <w:t>q_f(x,y,z,t) = [ 6 * sqrt(3) * f_f * Q ] / [ a * b * c_f * pi * sqrt(pi) ] * exp( -3*x^2/a^2 - 3*y^2/b^2 - 3*(z - v*t)^2/c_f^2 )</w:t>
      </w:r>
    </w:p>
    <w:p w14:paraId="28A007BB">
      <w:pPr>
        <w:spacing w:after="240"/>
        <w:ind w:left="720"/>
      </w:pPr>
      <w:r>
        <w:rPr>
          <w:rFonts w:ascii="Times New Roman" w:hAnsi="Times New Roman"/>
          <w:b/>
          <w:i/>
        </w:rPr>
        <w:t>q_r(x,y,z,t) = [ 6 * sqrt(3) * f_r * Q ] / [ a * b * c_r * pi * sqrt(pi) ] * exp( -3*x^2/a^2 - 3*y^2/b^2 - 3*(z - v*t)^2/c_r^2 )</w:t>
      </w:r>
    </w:p>
    <w:p w14:paraId="4DC55E14">
      <w:r>
        <w:t>Where: Q = Total Effective Power (W) = Efficiency (eta) * Voltage (V) * Current (I); v = Welding Velocity (mm/s); a, b, c_f, c_r are the melt pool geometric parameters, and f_f + f_r = 2.0 represent the fractional energy distributions.</w:t>
      </w:r>
    </w:p>
    <w:p w14:paraId="6811AAA1">
      <w:r>
        <w:t>Environmental dissipation settings must be modeled simultaneously using the following parameters: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3120"/>
        <w:gridCol w:w="3120"/>
      </w:tblGrid>
      <w:tr w14:paraId="5585B01D">
        <w:trPr>
          <w:jc w:val="center"/>
        </w:trPr>
        <w:tc>
          <w:tcPr>
            <w:tcW w:w="3120" w:type="dxa"/>
            <w:shd w:val="clear" w:color="auto" w:fill="1B365D"/>
          </w:tcPr>
          <w:p w14:paraId="730F01D2">
            <w:pPr>
              <w:jc w:val="center"/>
            </w:pPr>
            <w:r>
              <w:rPr>
                <w:b/>
                <w:color w:val="FFFFFF"/>
                <w:sz w:val="20"/>
              </w:rPr>
              <w:t>Dissipation Type</w:t>
            </w:r>
          </w:p>
        </w:tc>
        <w:tc>
          <w:tcPr>
            <w:tcW w:w="3120" w:type="dxa"/>
            <w:shd w:val="clear" w:color="auto" w:fill="1B365D"/>
          </w:tcPr>
          <w:p w14:paraId="2A063CFA">
            <w:pPr>
              <w:jc w:val="center"/>
            </w:pPr>
            <w:r>
              <w:rPr>
                <w:b/>
                <w:color w:val="FFFFFF"/>
                <w:sz w:val="20"/>
              </w:rPr>
              <w:t>Boundary Implementation</w:t>
            </w:r>
          </w:p>
        </w:tc>
        <w:tc>
          <w:tcPr>
            <w:tcW w:w="3120" w:type="dxa"/>
            <w:shd w:val="clear" w:color="auto" w:fill="1B365D"/>
          </w:tcPr>
          <w:p w14:paraId="5194A658">
            <w:pPr>
              <w:jc w:val="center"/>
            </w:pPr>
            <w:r>
              <w:rPr>
                <w:b/>
                <w:color w:val="FFFFFF"/>
                <w:sz w:val="20"/>
              </w:rPr>
              <w:t>Standard Quantitative Value</w:t>
            </w:r>
          </w:p>
        </w:tc>
      </w:tr>
      <w:tr w14:paraId="5EFA5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tcBorders>
              <w:bottom w:val="single" w:color="E0E0E0" w:sz="4" w:space="0"/>
            </w:tcBorders>
          </w:tcPr>
          <w:p w14:paraId="41E5F602">
            <w:r>
              <w:rPr>
                <w:sz w:val="19"/>
              </w:rPr>
              <w:t>Surface Convection</w:t>
            </w:r>
          </w:p>
        </w:tc>
        <w:tc>
          <w:tcPr>
            <w:tcW w:w="3120" w:type="dxa"/>
            <w:tcBorders>
              <w:bottom w:val="single" w:color="E0E0E0" w:sz="4" w:space="0"/>
            </w:tcBorders>
          </w:tcPr>
          <w:p w14:paraId="0BD252D3">
            <w:r>
              <w:rPr>
                <w:sz w:val="19"/>
              </w:rPr>
              <w:t>Newtonian Cooling Face Effect</w:t>
            </w:r>
          </w:p>
        </w:tc>
        <w:tc>
          <w:tcPr>
            <w:tcW w:w="3120" w:type="dxa"/>
            <w:tcBorders>
              <w:bottom w:val="single" w:color="E0E0E0" w:sz="4" w:space="0"/>
            </w:tcBorders>
          </w:tcPr>
          <w:p w14:paraId="3AB13068">
            <w:r>
              <w:rPr>
                <w:sz w:val="19"/>
              </w:rPr>
              <w:t>h = 15.0 – 25.0 W/(m²·°C) (Ambient Air)</w:t>
            </w:r>
          </w:p>
        </w:tc>
      </w:tr>
      <w:tr w14:paraId="4445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tcBorders>
              <w:bottom w:val="single" w:color="E0E0E0" w:sz="4" w:space="0"/>
            </w:tcBorders>
            <w:shd w:val="clear" w:color="auto" w:fill="F4F6F9"/>
          </w:tcPr>
          <w:p w14:paraId="01A5715F">
            <w:r>
              <w:rPr>
                <w:sz w:val="19"/>
              </w:rPr>
              <w:t>Surface Radiation</w:t>
            </w:r>
          </w:p>
        </w:tc>
        <w:tc>
          <w:tcPr>
            <w:tcW w:w="3120" w:type="dxa"/>
            <w:tcBorders>
              <w:bottom w:val="single" w:color="E0E0E0" w:sz="4" w:space="0"/>
            </w:tcBorders>
            <w:shd w:val="clear" w:color="auto" w:fill="F4F6F9"/>
          </w:tcPr>
          <w:p w14:paraId="787C3329">
            <w:r>
              <w:rPr>
                <w:sz w:val="19"/>
              </w:rPr>
              <w:t>Stefan-Boltzmann Emissivity Surface</w:t>
            </w:r>
          </w:p>
        </w:tc>
        <w:tc>
          <w:tcPr>
            <w:tcW w:w="3120" w:type="dxa"/>
            <w:tcBorders>
              <w:bottom w:val="single" w:color="E0E0E0" w:sz="4" w:space="0"/>
            </w:tcBorders>
            <w:shd w:val="clear" w:color="auto" w:fill="F4F6F9"/>
          </w:tcPr>
          <w:p w14:paraId="4C834789">
            <w:r>
              <w:rPr>
                <w:sz w:val="19"/>
              </w:rPr>
              <w:t>Epsilon = 0.80 – 0.85 (Structural Carbon Steels)</w:t>
            </w:r>
          </w:p>
        </w:tc>
      </w:tr>
    </w:tbl>
    <w:p w14:paraId="2DD7050E">
      <w:pPr>
        <w:spacing w:before="240"/>
      </w:pPr>
    </w:p>
    <w:p w14:paraId="3D314B7C">
      <w:pPr>
        <w:spacing w:before="240" w:after="200"/>
      </w:pPr>
      <w:r>
        <w:rPr>
          <w:rFonts w:ascii="Arial" w:hAnsi="Arial"/>
          <w:b/>
          <w:color w:val="1B365D"/>
          <w:sz w:val="30"/>
        </w:rPr>
        <w:t>3. Mechanical Boundary Conditions &amp; Fixture Constraints</w:t>
      </w:r>
    </w:p>
    <w:p w14:paraId="64092204">
      <w:r>
        <w:t>To properly capture industrial welding clamps and anti-deformation fixtures, mechanical constraints must not over-constrain the structural components, which causes false artificial stress spikes.</w:t>
      </w:r>
    </w:p>
    <w:p w14:paraId="0D8ED33B">
      <w:pPr>
        <w:pStyle w:val="16"/>
      </w:pPr>
      <w:r>
        <w:rPr>
          <w:b/>
        </w:rPr>
        <w:t xml:space="preserve">Primary Reference Clamps: </w:t>
      </w:r>
      <w:r>
        <w:t>Apply Fixed Supports only to realistic localized fixture contact locations. Avoid locking the entire bottom face unless the structure is continuously welded to a thick baseplate.</w:t>
      </w:r>
    </w:p>
    <w:p w14:paraId="3863F585">
      <w:pPr>
        <w:pStyle w:val="16"/>
      </w:pPr>
      <w:r>
        <w:rPr>
          <w:b/>
        </w:rPr>
        <w:t xml:space="preserve">Elastic Tooling Supports: </w:t>
      </w:r>
      <w:r>
        <w:t>For temporary or spring-loaded manufacturing clamps, utilize Elastic Foundation boundary settings with stiffness values matching the physical hydraulic or mechanical clamp properties.</w:t>
      </w:r>
    </w:p>
    <w:p w14:paraId="54116F9D">
      <w:pPr>
        <w:spacing w:before="360" w:after="200"/>
      </w:pPr>
      <w:r>
        <w:rPr>
          <w:rFonts w:ascii="Arial" w:hAnsi="Arial"/>
          <w:b/>
          <w:color w:val="1B365D"/>
          <w:sz w:val="30"/>
        </w:rPr>
        <w:t>4. Non-Linear Solver Tuning &amp; Convergence Settings</w:t>
      </w:r>
    </w:p>
    <w:p w14:paraId="577CBBB2">
      <w:r>
        <w:t>Extreme temperature variations (up to 2200°C) introduce severe material non-linearity, which often triggers solver divergence. The following settings are required for the Newton-Raphson iterative solver:</w:t>
      </w:r>
    </w:p>
    <w:p w14:paraId="1BB86688">
      <w:pPr>
        <w:pStyle w:val="16"/>
      </w:pPr>
      <w:r>
        <w:rPr>
          <w:b/>
        </w:rPr>
        <w:t xml:space="preserve">Time-Step Control (Auto Time Stepping): </w:t>
      </w:r>
      <w:r>
        <w:t>Must be set to ON. During active heat input periods, define the initial time-step as 0.05s, minimum time-step as 0.001s, and maximum time-step as 0.2s to track peak gradients smoothly.</w:t>
      </w:r>
    </w:p>
    <w:p w14:paraId="644B9293">
      <w:pPr>
        <w:pStyle w:val="16"/>
      </w:pPr>
      <w:r>
        <w:rPr>
          <w:b/>
        </w:rPr>
        <w:t xml:space="preserve">Large Deflection Effects: </w:t>
      </w:r>
      <w:r>
        <w:t>Must be toggled ON in the static structural solver options to account for geometric stiffness changes induced by thin sheet-metal warping and buckling behaviors.</w:t>
      </w:r>
    </w:p>
    <w:p w14:paraId="12DBFB4C">
      <w:pPr>
        <w:pStyle w:val="16"/>
      </w:pPr>
      <w:r>
        <w:rPr>
          <w:b/>
        </w:rPr>
        <w:t xml:space="preserve">Non-Linear Stabilization: </w:t>
      </w:r>
      <w:r>
        <w:t>Activate energy-based stabilization factors (e.g., Constant Damping factor = 1e-4) if localized macro-buckling causes momentary structural instability during the intermediate cooling stages.</w:t>
      </w:r>
    </w:p>
    <w:p w14:paraId="7DC67845">
      <w:pPr>
        <w:spacing w:before="24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7037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tcBorders>
              <w:top w:val="nil"/>
              <w:left w:val="single" w:color="1B365D" w:sz="24" w:space="0"/>
              <w:bottom w:val="nil"/>
              <w:right w:val="nil"/>
            </w:tcBorders>
            <w:shd w:val="clear" w:color="auto" w:fill="EDF2F7"/>
          </w:tcPr>
          <w:p w14:paraId="7B80F488">
            <w:pPr>
              <w:spacing w:before="120" w:after="120"/>
            </w:pPr>
            <w:r>
              <w:rPr>
                <w:i/>
                <w:color w:val="2C3E50"/>
                <w:sz w:val="20"/>
              </w:rPr>
              <w:t>CRITICAL CONFIGURATION NOTICE: The moving velocity parameter v must match the true physical weld tracker feed rate. Deviations in time-step sizing relative to mesh density will result in spatial numerical oscillation and false temperature peaks. For custom user subroutines (DFLUX/APDL), contact support@keyan-calculation.com.</w:t>
            </w:r>
          </w:p>
        </w:tc>
      </w:tr>
    </w:tbl>
    <w:p w14:paraId="004D586C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74C6089"/>
    <w:rsid w:val="742B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00" w:lineRule="auto"/>
    </w:pPr>
    <w:rPr>
      <w:rFonts w:ascii="Arial" w:hAnsi="Arial" w:eastAsiaTheme="minorEastAsia" w:cstheme="minorBidi"/>
      <w:color w:val="333333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580</Words>
  <Characters>3537</Characters>
  <Lines>0</Lines>
  <Paragraphs>0</Paragraphs>
  <TotalTime>0</TotalTime>
  <ScaleCrop>false</ScaleCrop>
  <LinksUpToDate>false</LinksUpToDate>
  <CharactersWithSpaces>4085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he</cp:lastModifiedBy>
  <dcterms:modified xsi:type="dcterms:W3CDTF">2026-07-03T09:10:12Z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337D516896614250809EC2A0E7761411_13</vt:lpwstr>
  </property>
</Properties>
</file>