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A97B4">
      <w:pPr>
        <w:spacing w:before="0" w:after="80"/>
      </w:pPr>
      <w:r>
        <w:rPr>
          <w:rFonts w:ascii="Arial" w:hAnsi="Arial"/>
          <w:b/>
          <w:color w:val="7F8C8D"/>
          <w:sz w:val="24"/>
        </w:rPr>
        <w:t>KEYAN Calculation — Technical Support Documentation</w:t>
      </w:r>
    </w:p>
    <w:p w14:paraId="45B53B21">
      <w:pPr>
        <w:spacing w:after="480"/>
      </w:pPr>
      <w:r>
        <w:rPr>
          <w:rFonts w:ascii="Arial" w:hAnsi="Arial"/>
          <w:b/>
          <w:color w:val="1B365D"/>
          <w:sz w:val="40"/>
        </w:rPr>
        <w:t>CAE Simulation Troubleshooting &amp; Error Knowledge Base</w:t>
      </w:r>
      <w:bookmarkStart w:id="0" w:name="_GoBack"/>
      <w:bookmarkEnd w:id="0"/>
    </w:p>
    <w:p w14:paraId="697D74C5">
      <w:pPr>
        <w:spacing w:after="360"/>
      </w:pPr>
    </w:p>
    <w:p w14:paraId="1DF8DF5F">
      <w:pPr>
        <w:spacing w:before="240" w:after="200"/>
      </w:pPr>
      <w:r>
        <w:rPr>
          <w:rFonts w:ascii="Arial" w:hAnsi="Arial"/>
          <w:b/>
          <w:color w:val="1B365D"/>
          <w:sz w:val="30"/>
        </w:rPr>
        <w:t>1. Purpose &amp; Troubleshooting Framework</w:t>
      </w:r>
    </w:p>
    <w:p w14:paraId="694F0B17">
      <w:r>
        <w:t>Advanced FEA and multiphysics solvers (e.g., ANSYS Workbench, mechanical solvers) frequently encounter numerical divergence due to structural non-linearities, material discontinuities, or improper constraint setups. This Knowledge Base serves as a self-service diagnostic index for engineers to rapidly decode solver error logs, isolate root causes, and execute standardized corrective workflows.</w:t>
      </w:r>
    </w:p>
    <w:p w14:paraId="6A61A03E">
      <w:pPr>
        <w:spacing w:before="360" w:after="200"/>
      </w:pPr>
      <w:r>
        <w:rPr>
          <w:rFonts w:ascii="Arial" w:hAnsi="Arial"/>
          <w:b/>
          <w:color w:val="1B365D"/>
          <w:sz w:val="30"/>
        </w:rPr>
        <w:t>2. Core Solver Error Matrix &amp; Resolution Index</w:t>
      </w:r>
    </w:p>
    <w:p w14:paraId="32EB1DCA">
      <w:r>
        <w:t>The following matrix catalogs the most critical errors encountered during high-temperature thermal-structural and non-linear simulation runs, paired with actionable engineering countermeasures: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340"/>
        <w:gridCol w:w="2340"/>
        <w:gridCol w:w="2340"/>
      </w:tblGrid>
      <w:tr w14:paraId="05FBB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  <w:shd w:val="clear" w:color="auto" w:fill="1B365D"/>
          </w:tcPr>
          <w:p w14:paraId="69C065DE">
            <w:pPr>
              <w:jc w:val="center"/>
            </w:pPr>
            <w:r>
              <w:rPr>
                <w:b/>
                <w:color w:val="FFFFFF"/>
                <w:sz w:val="19"/>
              </w:rPr>
              <w:t>Error Code / Type</w:t>
            </w:r>
          </w:p>
        </w:tc>
        <w:tc>
          <w:tcPr>
            <w:tcW w:w="2340" w:type="dxa"/>
            <w:shd w:val="clear" w:color="auto" w:fill="1B365D"/>
          </w:tcPr>
          <w:p w14:paraId="104FCB7A">
            <w:pPr>
              <w:jc w:val="center"/>
            </w:pPr>
            <w:r>
              <w:rPr>
                <w:b/>
                <w:color w:val="FFFFFF"/>
                <w:sz w:val="19"/>
              </w:rPr>
              <w:t>Typical Log Message</w:t>
            </w:r>
          </w:p>
        </w:tc>
        <w:tc>
          <w:tcPr>
            <w:tcW w:w="2340" w:type="dxa"/>
            <w:shd w:val="clear" w:color="auto" w:fill="1B365D"/>
          </w:tcPr>
          <w:p w14:paraId="2FE62D6A">
            <w:pPr>
              <w:jc w:val="center"/>
            </w:pPr>
            <w:r>
              <w:rPr>
                <w:b/>
                <w:color w:val="FFFFFF"/>
                <w:sz w:val="19"/>
              </w:rPr>
              <w:t>Root Cause Analysis</w:t>
            </w:r>
          </w:p>
        </w:tc>
        <w:tc>
          <w:tcPr>
            <w:tcW w:w="2340" w:type="dxa"/>
            <w:shd w:val="clear" w:color="auto" w:fill="1B365D"/>
          </w:tcPr>
          <w:p w14:paraId="6C698079">
            <w:pPr>
              <w:jc w:val="center"/>
            </w:pPr>
            <w:r>
              <w:rPr>
                <w:b/>
                <w:color w:val="FFFFFF"/>
                <w:sz w:val="19"/>
              </w:rPr>
              <w:t>Mandatory Solution Workflow</w:t>
            </w:r>
          </w:p>
        </w:tc>
      </w:tr>
      <w:tr w14:paraId="4A251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  <w:tcBorders>
              <w:bottom w:val="single" w:color="E0E0E0" w:sz="4" w:space="0"/>
            </w:tcBorders>
          </w:tcPr>
          <w:p w14:paraId="5CCEB195">
            <w:r>
              <w:rPr>
                <w:sz w:val="18"/>
              </w:rPr>
              <w:t>Solver Divergence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(Non-linear)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</w:tcPr>
          <w:p w14:paraId="3E8981CD">
            <w:r>
              <w:rPr>
                <w:sz w:val="18"/>
              </w:rPr>
              <w:t>Solution magnitude/increment has exceeded the limit. Solution not converged.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</w:tcPr>
          <w:p w14:paraId="0678B880">
            <w:r>
              <w:rPr>
                <w:sz w:val="18"/>
              </w:rPr>
              <w:t>Extreme material non-linearity at weld pools (2200°C) or structural buckling under high thermal strain.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</w:tcPr>
          <w:p w14:paraId="28A9D1FC">
            <w:r>
              <w:rPr>
                <w:sz w:val="18"/>
              </w:rPr>
              <w:t>1. Activate Auto Time Stepping.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2. Shrink initial time-step to 0.001s.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3. Turn ON Large Deflection effects.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4. Apply non-linear stabilization damping (Factor = 1e-4).</w:t>
            </w:r>
          </w:p>
        </w:tc>
      </w:tr>
      <w:tr w14:paraId="224EC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  <w:tcBorders>
              <w:bottom w:val="single" w:color="E0E0E0" w:sz="4" w:space="0"/>
            </w:tcBorders>
            <w:shd w:val="clear" w:color="auto" w:fill="F4F6F9"/>
          </w:tcPr>
          <w:p w14:paraId="08BA0491">
            <w:r>
              <w:rPr>
                <w:sz w:val="18"/>
              </w:rPr>
              <w:t>Rigid Body Motion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(Under-constrained)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  <w:shd w:val="clear" w:color="auto" w:fill="F4F6F9"/>
          </w:tcPr>
          <w:p w14:paraId="3476F4E5">
            <w:r>
              <w:rPr>
                <w:sz w:val="18"/>
              </w:rPr>
              <w:t>Solver pivot error. One or more joints/nodes may have unconstrained rigid body motion.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  <w:shd w:val="clear" w:color="auto" w:fill="F4F6F9"/>
          </w:tcPr>
          <w:p w14:paraId="422E3E7D">
            <w:r>
              <w:rPr>
                <w:sz w:val="18"/>
              </w:rPr>
              <w:t>An assembly part lacks sufficient mechanical boundary conditions or active contacts, causing infinite displacement.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  <w:shd w:val="clear" w:color="auto" w:fill="F4F6F9"/>
          </w:tcPr>
          <w:p w14:paraId="1E3BEB9C">
            <w:r>
              <w:rPr>
                <w:sz w:val="18"/>
              </w:rPr>
              <w:t>1. Run an initial Modal Analysis to find 0-Hz unconstrained modes.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2. Ensure Shared Topology or bonded contacts connect all sheet metal plates.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3. Add weak springs for stabilization.</w:t>
            </w:r>
          </w:p>
        </w:tc>
      </w:tr>
      <w:tr w14:paraId="73124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  <w:tcBorders>
              <w:bottom w:val="single" w:color="E0E0E0" w:sz="4" w:space="0"/>
            </w:tcBorders>
          </w:tcPr>
          <w:p w14:paraId="2850B01D">
            <w:r>
              <w:rPr>
                <w:sz w:val="18"/>
              </w:rPr>
              <w:t>Contact Penetration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(Contact Chatter)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</w:tcPr>
          <w:p w14:paraId="37FAFEC8">
            <w:r>
              <w:rPr>
                <w:sz w:val="18"/>
              </w:rPr>
              <w:t>Excessive penetration detected between contact pairs. Solver aborted.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</w:tcPr>
          <w:p w14:paraId="7D344DAB">
            <w:r>
              <w:rPr>
                <w:sz w:val="18"/>
              </w:rPr>
              <w:t>Contact stiffness is too high or initial clearance causes elements to interpenetrate dramatically in a single load step.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</w:tcPr>
          <w:p w14:paraId="010F10B7">
            <w:r>
              <w:rPr>
                <w:sz w:val="18"/>
              </w:rPr>
              <w:t>1. Change Contact Formulation to 'Pure Penalty' or 'Augmented Lagrange'.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2. Set Contact Stiffness to a lower factor (0.01 - 0.1).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3. Enable 'Adjust to Touch' initialization.</w:t>
            </w:r>
          </w:p>
        </w:tc>
      </w:tr>
      <w:tr w14:paraId="68765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0" w:type="dxa"/>
            <w:tcBorders>
              <w:bottom w:val="single" w:color="E0E0E0" w:sz="4" w:space="0"/>
            </w:tcBorders>
            <w:shd w:val="clear" w:color="auto" w:fill="F4F6F9"/>
          </w:tcPr>
          <w:p w14:paraId="0552EF42">
            <w:r>
              <w:rPr>
                <w:sz w:val="18"/>
              </w:rPr>
              <w:t>Distorted Elements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(Negative Volume)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  <w:shd w:val="clear" w:color="auto" w:fill="F4F6F9"/>
          </w:tcPr>
          <w:p w14:paraId="602676D4">
            <w:r>
              <w:rPr>
                <w:sz w:val="18"/>
              </w:rPr>
              <w:t>Element shape checking failed. Severe mesh distortion detected.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  <w:shd w:val="clear" w:color="auto" w:fill="F4F6F9"/>
          </w:tcPr>
          <w:p w14:paraId="7D8B796F">
            <w:r>
              <w:rPr>
                <w:sz w:val="18"/>
              </w:rPr>
              <w:t>Large structural deformations or high thermal gradients warp first-order or low-quality mesh cells into invalid shapes.</w:t>
            </w:r>
          </w:p>
        </w:tc>
        <w:tc>
          <w:tcPr>
            <w:tcW w:w="2340" w:type="dxa"/>
            <w:tcBorders>
              <w:bottom w:val="single" w:color="E0E0E0" w:sz="4" w:space="0"/>
            </w:tcBorders>
            <w:shd w:val="clear" w:color="auto" w:fill="F4F6F9"/>
          </w:tcPr>
          <w:p w14:paraId="19CC2F09">
            <w:r>
              <w:rPr>
                <w:sz w:val="18"/>
              </w:rPr>
              <w:t>1. Re-mesh the area using 2nd-Order Hexahedral cells.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2. Refine local element size at high-gradient zones.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3. Check geometric shared topology for redundant edges.</w:t>
            </w:r>
          </w:p>
        </w:tc>
      </w:tr>
    </w:tbl>
    <w:p w14:paraId="623A959A">
      <w:pPr>
        <w:spacing w:before="240"/>
      </w:pPr>
    </w:p>
    <w:p w14:paraId="34B7F91C">
      <w:pPr>
        <w:spacing w:before="240" w:after="200"/>
      </w:pPr>
      <w:r>
        <w:rPr>
          <w:rFonts w:ascii="Arial" w:hAnsi="Arial"/>
          <w:b/>
          <w:color w:val="1B365D"/>
          <w:sz w:val="30"/>
        </w:rPr>
        <w:t>3. HPC &amp; Hardware Allocation Troubleshooting</w:t>
      </w:r>
    </w:p>
    <w:p w14:paraId="28B93722">
      <w:r>
        <w:t>Large-scale multi-scale simulation runs require High-Performance Computing (HPC) parallel cluster processing. Hardware-level runtime crashes can be mitigated with the following setups:</w:t>
      </w:r>
    </w:p>
    <w:p w14:paraId="1DC2F909">
      <w:pPr>
        <w:pStyle w:val="16"/>
      </w:pPr>
      <w:r>
        <w:rPr>
          <w:b/>
        </w:rPr>
        <w:t xml:space="preserve">Out-of-Memory (OOM) Errors: </w:t>
      </w:r>
      <w:r>
        <w:t>If the solver aborts with an 'insufficient memory allocations' log, switch the Solver Memory Allocation option from 'In-Core' (keeps everything in RAM) to 'Out-of-Core' (utilizes high-speed NVMe scratch disks for matrix factorization arrays).</w:t>
      </w:r>
    </w:p>
    <w:p w14:paraId="2EA07E0A">
      <w:pPr>
        <w:pStyle w:val="16"/>
      </w:pPr>
      <w:r>
        <w:rPr>
          <w:b/>
        </w:rPr>
        <w:t xml:space="preserve">MPI Parallel Communication Failures: </w:t>
      </w:r>
      <w:r>
        <w:t>When utilizing multi-node cluster parallelization, if inter-node communication drops, force the environment to utilize Intel MPI or MS MPI by appending the startup execution flag: '-mpi intel' or '-mpi msmpi'. Disable local firewalls on port ranges 2100-2200.</w:t>
      </w:r>
    </w:p>
    <w:p w14:paraId="5A279937">
      <w:pPr>
        <w:pStyle w:val="16"/>
      </w:pPr>
      <w:r>
        <w:rPr>
          <w:b/>
        </w:rPr>
        <w:t xml:space="preserve">GPU Acceleration Crashes: </w:t>
      </w:r>
      <w:r>
        <w:t>Ensure shared acceleration hardware uses verified Enterprise GPU compute drivers (CUDA computing mode). For non-linear mechanical sparse solvers, utilize the startup execution flag '-acc nvidia' only if memory allocations fit the on-card VRAM.</w:t>
      </w:r>
    </w:p>
    <w:p w14:paraId="59237FAE">
      <w:pPr>
        <w:spacing w:before="240"/>
      </w:pP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1EEAD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0" w:type="dxa"/>
            <w:tcBorders>
              <w:top w:val="nil"/>
              <w:left w:val="single" w:color="1B365D" w:sz="24" w:space="0"/>
              <w:bottom w:val="nil"/>
              <w:right w:val="nil"/>
            </w:tcBorders>
            <w:shd w:val="clear" w:color="auto" w:fill="EDF2F7"/>
          </w:tcPr>
          <w:p w14:paraId="4AE7F510">
            <w:pPr>
              <w:spacing w:before="120" w:after="120"/>
            </w:pPr>
            <w:r>
              <w:rPr>
                <w:i/>
                <w:color w:val="2C3E50"/>
                <w:sz w:val="20"/>
              </w:rPr>
              <w:t>CRITICAL INFRASTRUCTURE SUPPORT: If error logs indicate persistent system-level segmentation faults or licensing server disconnects (-15, -97 errors), please export your complete solver text output log (.wout / .log) and route it to clustersupport@keyan-calculation.com for priority hardware allocation assistance.</w:t>
            </w:r>
          </w:p>
        </w:tc>
      </w:tr>
    </w:tbl>
    <w:p w14:paraId="65A35719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6BE54C6"/>
    <w:rsid w:val="5FFE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00" w:lineRule="auto"/>
    </w:pPr>
    <w:rPr>
      <w:rFonts w:ascii="Arial" w:hAnsi="Arial" w:eastAsiaTheme="minorEastAsia" w:cstheme="minorBidi"/>
      <w:color w:val="333333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508</Words>
  <Characters>3334</Characters>
  <Lines>0</Lines>
  <Paragraphs>0</Paragraphs>
  <TotalTime>1</TotalTime>
  <ScaleCrop>false</ScaleCrop>
  <LinksUpToDate>false</LinksUpToDate>
  <CharactersWithSpaces>3797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he</cp:lastModifiedBy>
  <dcterms:modified xsi:type="dcterms:W3CDTF">2026-07-03T10:07:31Z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595AA243FF8F401883D26E87D2622A1E_13</vt:lpwstr>
  </property>
</Properties>
</file>